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BUSINESS TAX CHECKLIST</w:t>
      </w:r>
    </w:p>
    <w:p w:rsidR="00000000" w:rsidDel="00000000" w:rsidP="00000000" w:rsidRDefault="00000000" w:rsidRPr="00000000" w14:paraId="00000003">
      <w:pPr>
        <w:spacing w:after="150" w:lineRule="auto"/>
        <w:rPr>
          <w:rFonts w:ascii="Roboto" w:cs="Roboto" w:eastAsia="Roboto" w:hAnsi="Roboto"/>
          <w:b w:val="1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24"/>
          <w:szCs w:val="24"/>
          <w:rtl w:val="0"/>
        </w:rPr>
        <w:t xml:space="preserve">Income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28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Gross receipts from sales or services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Sales records (for accrual based taxpayers)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Inventory (if applicable)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Beginning inventory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Inventory purchases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Ending inventory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Items removed for personal purposes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Returns and allowances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Business checking/savings account interest (1099-INT or statement)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8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Other income</w:t>
      </w:r>
    </w:p>
    <w:p w:rsidR="00000000" w:rsidDel="00000000" w:rsidP="00000000" w:rsidRDefault="00000000" w:rsidRPr="00000000" w14:paraId="0000000E">
      <w:pPr>
        <w:spacing w:after="150" w:before="150" w:lineRule="auto"/>
        <w:rPr>
          <w:rFonts w:ascii="Roboto" w:cs="Roboto" w:eastAsia="Roboto" w:hAnsi="Roboto"/>
          <w:b w:val="1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24"/>
          <w:szCs w:val="24"/>
          <w:rtl w:val="0"/>
        </w:rPr>
        <w:t xml:space="preserve">Expenses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before="28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Advertising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Transportation and travel expenses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Local transportation 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spacing w:after="0" w:before="0" w:lineRule="auto"/>
        <w:ind w:left="112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Business trip (mileage) log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spacing w:after="0" w:before="0" w:lineRule="auto"/>
        <w:ind w:left="112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Contemporaneous log or receipts for public transportation, parking, and tolls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Travel away from home 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pacing w:after="0" w:before="0" w:lineRule="auto"/>
        <w:ind w:left="112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Airfare or mileage/actual expense if drove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after="0" w:before="0" w:lineRule="auto"/>
        <w:ind w:left="112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Hotel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pacing w:after="0" w:before="0" w:lineRule="auto"/>
        <w:ind w:left="112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Meals, tips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pacing w:after="0" w:before="0" w:lineRule="auto"/>
        <w:ind w:left="112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Taxi, tips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pacing w:after="0" w:before="0" w:lineRule="auto"/>
        <w:ind w:left="112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Internet connection (hotel, Internet café etc.)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after="0" w:before="0" w:lineRule="auto"/>
        <w:ind w:left="112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Commissions paid to subcontractors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File Form 1099-MISC and 1096 as necessary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Depreciation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Cost and acquisition date of assets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Sales price and disposition date of any assets sold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Fringe benefits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Employer-paid pension/profit sharing contributions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Employer paid HSA contributions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Employer-paid health insurance premiums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Cost of other fringe benefits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Business insurance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Casualty loss insurance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Errors and omissions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Interest expense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Mortgage interest on building owned by business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Business loan interest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Legal fees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Office supplies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Pens, paper, staples, etc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Other consumables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Rent expense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Office space rent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Business-use vehicle lease expense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Office-in-home 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Square footage of office space (hours of use for daycare business, only square footage is required for the new standard office-in-home deduction)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Total square footage of home (not applicable for daycare business)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Mortgage interest or rent paid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Utilities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Wages paid to employees 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Form W-2 and W-3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Federal and state payroll returns (Form 940, etc.)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before="0" w:lineRule="auto"/>
        <w:ind w:left="375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Other expenses 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pacing w:after="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Repairs, maintenance of office facility, etc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after="280" w:before="0" w:lineRule="auto"/>
        <w:ind w:left="750" w:hanging="360"/>
        <w:rPr>
          <w:rFonts w:ascii="Noto Sans" w:cs="Noto Sans" w:eastAsia="Noto Sans" w:hAnsi="Noto Sans"/>
          <w:color w:val="363636"/>
          <w:sz w:val="24"/>
          <w:szCs w:val="24"/>
        </w:rPr>
      </w:pPr>
      <w:r w:rsidDel="00000000" w:rsidR="00000000" w:rsidRPr="00000000">
        <w:rPr>
          <w:rFonts w:ascii="Noto Sans" w:cs="Noto Sans" w:eastAsia="Noto Sans" w:hAnsi="Noto Sans"/>
          <w:color w:val="363636"/>
          <w:sz w:val="24"/>
          <w:szCs w:val="24"/>
          <w:rtl w:val="0"/>
        </w:rPr>
        <w:t xml:space="preserve">Other business related expenses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Rounded"/>
  <w:font w:name="Noto Sans"/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Phone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646-851-7264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Fax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914-243-1263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 Rounded" w:cs="Arial Rounded" w:eastAsia="Arial Rounded" w:hAnsi="Arial Rounded"/>
        <w:b w:val="1"/>
        <w:i w:val="0"/>
        <w:smallCaps w:val="0"/>
        <w:strike w:val="0"/>
        <w:color w:val="76923c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76923c"/>
        <w:sz w:val="32"/>
        <w:szCs w:val="3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76923c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734086" cy="529561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4086" cy="5295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 Rounded" w:cs="Arial Rounded" w:eastAsia="Arial Rounded" w:hAnsi="Arial Rounded"/>
        <w:b w:val="1"/>
        <w:i w:val="0"/>
        <w:smallCaps w:val="0"/>
        <w:strike w:val="0"/>
        <w:color w:val="76923c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76923c"/>
        <w:sz w:val="32"/>
        <w:szCs w:val="32"/>
        <w:u w:val="none"/>
        <w:shd w:fill="auto" w:val="clear"/>
        <w:vertAlign w:val="baseline"/>
        <w:rtl w:val="0"/>
      </w:rPr>
      <w:tab/>
      <w:t xml:space="preserve">London’s Tax Services, LLC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INFO@LONDONSTAXSERVICES.COM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A13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13E8"/>
  </w:style>
  <w:style w:type="paragraph" w:styleId="Footer">
    <w:name w:val="footer"/>
    <w:basedOn w:val="Normal"/>
    <w:link w:val="FooterChar"/>
    <w:uiPriority w:val="99"/>
    <w:unhideWhenUsed w:val="1"/>
    <w:rsid w:val="002A13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13E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7348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7348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4VCp92xC01aQ1IhDtVifl+wKpg==">AMUW2mXWgAOYp3ZXFJFmuIFyMRcRnVGJzXheqbJzYYebRjScA00uWJoHtj6Ia7sJb/rHMj0iTLik3yqn5TWIC26UWdNyDJB9e0DZxZAvq3UZAfIDQNhyTQPAdhIF+aOyVh/rQ+FF4TB2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2018-09-11T10:12:00Z</dcterms:created>
  <dc:creator>JRBOSS</dc:creator>
</cp:coreProperties>
</file>